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u w:color="000000"/>
          <w:rtl w:val="0"/>
          <w:lang w:val="en-US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Bylaw Review Committee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Sept 21, 2022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</w:rPr>
      </w:pPr>
      <w:r>
        <w:rPr>
          <w:rFonts w:ascii="Times New Roman" w:hAnsi="Times New Roman"/>
          <w:sz w:val="28"/>
          <w:szCs w:val="28"/>
          <w:u w:color="000000"/>
          <w:rtl w:val="0"/>
          <w:lang w:val="en-US"/>
        </w:rPr>
        <w:t>7:30 pm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8"/>
          <w:szCs w:val="28"/>
          <w:u w:color="000000"/>
          <w:rtl w:val="0"/>
          <w:lang w:val="en-US"/>
        </w:rPr>
      </w:pP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MINUTES</w:t>
      </w:r>
    </w:p>
    <w:p>
      <w:pPr>
        <w:pStyle w:val="Default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Members Present:  Pauline Banducci, Stuart Litwin, David Myers, Jeff Zimmeramn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Mari Enoch absent.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Having a quorum</w:t>
      </w: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, the meeting was called to order at 7:3</w:t>
      </w: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2</w:t>
      </w: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 xml:space="preserve"> pm.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 xml:space="preserve">The Committee continued to work on proposed revisions to the language and organization of the bylaws.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 xml:space="preserve">The Committee edited </w:t>
      </w: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Article VI: Solicitor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en-US"/>
        </w:rPr>
        <w:t>’</w:t>
      </w: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s Permits</w:t>
      </w: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 xml:space="preserve">The Committee discussed the confusing aspects of </w:t>
      </w: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Article XVIII</w:t>
      </w: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 xml:space="preserve">, which has many Sections unrelated to the Article - </w:t>
      </w: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Protection of Public Ways from Logging Damage</w:t>
      </w: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 xml:space="preserve">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 xml:space="preserve">The committee also noted many Sections under this Article which are not Bylaws. The committee suggested reformatting this entire section on the website under a new heading.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 xml:space="preserve">Pauline Banducci requested an agenda item to be included in the next meeting - discussion of retaining historical dates under each bylaw, so townspeople can track voted changes. This suggestion was made by a past clerk of Monterey.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 xml:space="preserve">The next meeting was set for </w:t>
      </w: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Thursday, Oct 13</w:t>
      </w: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, 2022 at 7:</w:t>
      </w: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30</w:t>
      </w: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 xml:space="preserve">A motion was made, seconded, and so voted to adjourn the meeting at </w:t>
      </w: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9:00 PM</w:t>
      </w: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  <w:lang w:val="en-US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Respectfully</w:t>
      </w: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 xml:space="preserve"> submitted,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6"/>
          <w:szCs w:val="26"/>
          <w:u w:color="000000"/>
          <w:rtl w:val="0"/>
          <w:lang w:val="en-US"/>
        </w:rPr>
        <w:t>Pauline Banducci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