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D" w:rsidRPr="001242D6" w:rsidRDefault="00970A3D" w:rsidP="00970A3D">
      <w:pPr>
        <w:pStyle w:val="BodyText2"/>
      </w:pPr>
      <w:r w:rsidRPr="001242D6">
        <w:t>DEPARTMENTAL REVOLVING FUNDS</w:t>
      </w:r>
    </w:p>
    <w:p w:rsidR="00970A3D" w:rsidRPr="001242D6" w:rsidRDefault="00970A3D" w:rsidP="00970A3D">
      <w:pPr>
        <w:pStyle w:val="BodyText2"/>
      </w:pPr>
    </w:p>
    <w:p w:rsidR="00970A3D" w:rsidRPr="001242D6" w:rsidRDefault="00970A3D" w:rsidP="00970A3D">
      <w:pPr>
        <w:pStyle w:val="BodyText2"/>
      </w:pPr>
      <w:r w:rsidRPr="001242D6">
        <w:t xml:space="preserve">1.   </w:t>
      </w:r>
      <w:r w:rsidRPr="001242D6">
        <w:rPr>
          <w:u w:val="single"/>
        </w:rPr>
        <w:t>Purpose</w:t>
      </w:r>
      <w:r w:rsidRPr="001242D6">
        <w:t>. This bylaw establishes and authorizes revolving funds for use by town, departments, boards, committees, agencies and officers in connection with the operation of programs or activities that generate fees, charges or other receipts to support all or some of the expenses of those programs or activities. These revolving funds are established under and governed by General Laws Chapter 44, § 53E½.</w:t>
      </w:r>
    </w:p>
    <w:p w:rsidR="00970A3D" w:rsidRPr="001242D6" w:rsidRDefault="00970A3D" w:rsidP="00970A3D">
      <w:pPr>
        <w:pStyle w:val="BodyText2"/>
      </w:pPr>
    </w:p>
    <w:p w:rsidR="00970A3D" w:rsidRDefault="00970A3D" w:rsidP="00970A3D">
      <w:pPr>
        <w:pStyle w:val="BodyText2"/>
      </w:pPr>
      <w:r w:rsidRPr="001242D6">
        <w:t xml:space="preserve">2.   </w:t>
      </w:r>
      <w:r w:rsidRPr="001242D6">
        <w:rPr>
          <w:u w:val="single"/>
        </w:rPr>
        <w:t>Expenditure Limitations</w:t>
      </w:r>
      <w:r w:rsidRPr="001242D6">
        <w:t>. A department or agency head, board, committee or officer may incur liabilities against and spend monies from a revolving fund established and authorized by this bylaw without appropriation subject to the following limitations:</w:t>
      </w:r>
    </w:p>
    <w:p w:rsidR="00970A3D" w:rsidRDefault="00970A3D" w:rsidP="00970A3D">
      <w:pPr>
        <w:pStyle w:val="BodyText2"/>
      </w:pPr>
      <w:r w:rsidRPr="001242D6">
        <w:t>A.  Fringe benefits of full-time employees whose salaries or wages are paid from the fund shall also be paid from the fund.</w:t>
      </w:r>
    </w:p>
    <w:p w:rsidR="00970A3D" w:rsidRPr="001242D6" w:rsidRDefault="00970A3D" w:rsidP="00970A3D">
      <w:pPr>
        <w:pStyle w:val="BodyText2"/>
      </w:pPr>
      <w:r w:rsidRPr="001242D6">
        <w:t>B.  No liability shall be incurred in excess of the available balance of the fund.</w:t>
      </w:r>
    </w:p>
    <w:p w:rsidR="00970A3D" w:rsidRPr="001242D6" w:rsidRDefault="00970A3D" w:rsidP="00970A3D">
      <w:pPr>
        <w:pStyle w:val="BodyText2"/>
      </w:pPr>
      <w:r w:rsidRPr="001242D6">
        <w:t>C.  The total amount spent during a fiscal year shall not exceed the amount authorized by Annual Town Meeting on or before July 1 of that fiscal year, or any increased amount of that authorization that is later approved during that fiscal year by the Selectboard and Finance Committee.</w:t>
      </w:r>
    </w:p>
    <w:p w:rsidR="00970A3D" w:rsidRPr="001242D6" w:rsidRDefault="00970A3D" w:rsidP="00970A3D">
      <w:pPr>
        <w:pStyle w:val="BodyText2"/>
      </w:pPr>
    </w:p>
    <w:p w:rsidR="00970A3D" w:rsidRPr="001242D6" w:rsidRDefault="00970A3D" w:rsidP="00970A3D">
      <w:pPr>
        <w:pStyle w:val="BodyText2"/>
      </w:pPr>
      <w:r w:rsidRPr="001242D6">
        <w:t xml:space="preserve">3.   </w:t>
      </w:r>
      <w:r w:rsidRPr="001242D6">
        <w:rPr>
          <w:u w:val="single"/>
        </w:rPr>
        <w:t>Interest</w:t>
      </w:r>
      <w:r w:rsidRPr="001242D6">
        <w:t>. Interest earned on monies credited to a revolving fund established by this bylaw shall be credited to the general fund.</w:t>
      </w:r>
    </w:p>
    <w:p w:rsidR="00970A3D" w:rsidRPr="001242D6" w:rsidRDefault="00970A3D" w:rsidP="00970A3D">
      <w:pPr>
        <w:pStyle w:val="BodyText2"/>
      </w:pPr>
    </w:p>
    <w:p w:rsidR="00970A3D" w:rsidRPr="001242D6" w:rsidRDefault="00970A3D" w:rsidP="00970A3D">
      <w:pPr>
        <w:pStyle w:val="BodyText2"/>
      </w:pPr>
      <w:r w:rsidRPr="001242D6">
        <w:t xml:space="preserve">4.   </w:t>
      </w:r>
      <w:r w:rsidRPr="001242D6">
        <w:rPr>
          <w:u w:val="single"/>
        </w:rPr>
        <w:t>Procedures and Reports</w:t>
      </w:r>
      <w:r w:rsidRPr="001242D6">
        <w:t>. Except as provided in General Laws Chapter 44, § 53E½ and this bylaw, the laws, charter provisions, bylaws, rules, regulations, policies or procedures that govern the receipt and custody of town monies and the expenditure and payment of town funds shall apply to the use of a revolving fund established and authorized by this bylaw. The Town Accountant shall include a statement on the collections credited to the fund, the encumbrances and expenditures charged to each fund and the balance available for expenditure in the regular report the Town Accountant provides the department, board, committee, agency or officer on appropriations made for its use.</w:t>
      </w:r>
    </w:p>
    <w:p w:rsidR="00970A3D" w:rsidRPr="001242D6" w:rsidRDefault="00970A3D" w:rsidP="00970A3D">
      <w:pPr>
        <w:pStyle w:val="BodyText2"/>
      </w:pPr>
    </w:p>
    <w:p w:rsidR="00970A3D" w:rsidRPr="001242D6" w:rsidRDefault="00970A3D" w:rsidP="00970A3D">
      <w:pPr>
        <w:pStyle w:val="BodyText2"/>
      </w:pPr>
      <w:r w:rsidRPr="001242D6">
        <w:t xml:space="preserve">5.   </w:t>
      </w:r>
      <w:r w:rsidRPr="001242D6">
        <w:rPr>
          <w:u w:val="single"/>
        </w:rPr>
        <w:t>Authorized Revolving Funds</w:t>
      </w:r>
      <w:r w:rsidRPr="001242D6">
        <w:t>. The Table establishes:</w:t>
      </w:r>
    </w:p>
    <w:p w:rsidR="00970A3D" w:rsidRDefault="00970A3D" w:rsidP="00970A3D">
      <w:pPr>
        <w:pStyle w:val="BodyText2"/>
      </w:pPr>
      <w:r w:rsidRPr="001242D6">
        <w:t>A.  Each revolving fund authorized for use by a town department, board, committee, agency or officer,</w:t>
      </w:r>
    </w:p>
    <w:p w:rsidR="00970A3D" w:rsidRPr="001242D6" w:rsidRDefault="00970A3D" w:rsidP="00970A3D">
      <w:pPr>
        <w:pStyle w:val="BodyText2"/>
      </w:pPr>
      <w:r w:rsidRPr="001242D6">
        <w:t>B.  The department or agency head, board, committee or officer authorized to spend from each fund,</w:t>
      </w:r>
    </w:p>
    <w:p w:rsidR="00970A3D" w:rsidRPr="001242D6" w:rsidRDefault="00970A3D" w:rsidP="00970A3D">
      <w:pPr>
        <w:pStyle w:val="BodyText2"/>
      </w:pPr>
      <w:r w:rsidRPr="001242D6">
        <w:t>C.  The fees, charges and other monies charged and received by the department, board, committee, agency or officer in connection with the program or activity for which the fund is established that shall be credited to each fund by the Town Accountant,</w:t>
      </w:r>
    </w:p>
    <w:p w:rsidR="00970A3D" w:rsidRDefault="00970A3D" w:rsidP="00970A3D">
      <w:pPr>
        <w:pStyle w:val="BodyText2"/>
      </w:pPr>
      <w:r w:rsidRPr="001242D6">
        <w:t>D.  The expenses of the program or activity for which each fund may be used,</w:t>
      </w:r>
    </w:p>
    <w:p w:rsidR="00970A3D" w:rsidRPr="001242D6" w:rsidRDefault="00970A3D" w:rsidP="00970A3D">
      <w:pPr>
        <w:pStyle w:val="BodyText2"/>
      </w:pPr>
      <w:r w:rsidRPr="001242D6">
        <w:t>E.  Any restrictions or conditions on expenditures from each fund;</w:t>
      </w:r>
    </w:p>
    <w:p w:rsidR="00970A3D" w:rsidRPr="001242D6" w:rsidRDefault="00970A3D" w:rsidP="00970A3D">
      <w:pPr>
        <w:pStyle w:val="BodyText2"/>
      </w:pPr>
      <w:r w:rsidRPr="001242D6">
        <w:t>F.  Any reporting or other requirements that apply to each fund, and</w:t>
      </w:r>
    </w:p>
    <w:p w:rsidR="00970A3D" w:rsidRDefault="00970A3D" w:rsidP="00970A3D">
      <w:pPr>
        <w:pStyle w:val="BodyText2"/>
      </w:pPr>
      <w:r w:rsidRPr="001242D6">
        <w:t>G.  The fiscal years each fund shall operate under this bylaw.</w:t>
      </w:r>
    </w:p>
    <w:p w:rsidR="00970A3D" w:rsidRDefault="00970A3D" w:rsidP="00970A3D">
      <w:pPr>
        <w:pStyle w:val="BodyText2"/>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94"/>
        <w:gridCol w:w="1743"/>
        <w:gridCol w:w="1807"/>
        <w:gridCol w:w="1627"/>
        <w:gridCol w:w="1956"/>
        <w:gridCol w:w="1016"/>
      </w:tblGrid>
      <w:tr w:rsidR="00970A3D" w:rsidTr="009B716A">
        <w:trPr>
          <w:trHeight w:val="440"/>
        </w:trPr>
        <w:tc>
          <w:tcPr>
            <w:tcW w:w="1247" w:type="dxa"/>
            <w:shd w:val="clear" w:color="auto" w:fill="auto"/>
          </w:tcPr>
          <w:p w:rsidR="00970A3D" w:rsidRPr="00E02202" w:rsidRDefault="00970A3D" w:rsidP="009B716A">
            <w:pPr>
              <w:pStyle w:val="BodyText2"/>
              <w:jc w:val="center"/>
              <w:rPr>
                <w:sz w:val="18"/>
                <w:szCs w:val="18"/>
              </w:rPr>
            </w:pPr>
            <w:r w:rsidRPr="00E02202">
              <w:rPr>
                <w:b/>
                <w:sz w:val="18"/>
                <w:szCs w:val="18"/>
                <w:u w:val="single"/>
              </w:rPr>
              <w:t>A</w:t>
            </w:r>
          </w:p>
          <w:p w:rsidR="00970A3D" w:rsidRPr="00E02202" w:rsidRDefault="00970A3D" w:rsidP="009B716A">
            <w:pPr>
              <w:pStyle w:val="BodyText2"/>
              <w:jc w:val="center"/>
              <w:rPr>
                <w:b/>
                <w:sz w:val="18"/>
                <w:szCs w:val="18"/>
              </w:rPr>
            </w:pPr>
            <w:r w:rsidRPr="00E02202">
              <w:rPr>
                <w:b/>
                <w:sz w:val="18"/>
                <w:szCs w:val="18"/>
              </w:rPr>
              <w:t>Revolving Fund</w:t>
            </w:r>
          </w:p>
        </w:tc>
        <w:tc>
          <w:tcPr>
            <w:tcW w:w="1494" w:type="dxa"/>
            <w:shd w:val="clear" w:color="auto" w:fill="auto"/>
          </w:tcPr>
          <w:p w:rsidR="00970A3D" w:rsidRPr="00E02202" w:rsidRDefault="00970A3D" w:rsidP="009B716A">
            <w:pPr>
              <w:pStyle w:val="BodyText2"/>
              <w:jc w:val="center"/>
              <w:rPr>
                <w:sz w:val="18"/>
                <w:szCs w:val="18"/>
              </w:rPr>
            </w:pPr>
            <w:r w:rsidRPr="00E02202">
              <w:rPr>
                <w:b/>
                <w:sz w:val="18"/>
                <w:szCs w:val="18"/>
                <w:u w:val="single"/>
              </w:rPr>
              <w:t>B</w:t>
            </w:r>
          </w:p>
          <w:p w:rsidR="00970A3D" w:rsidRPr="00E02202" w:rsidRDefault="00970A3D" w:rsidP="009B716A">
            <w:pPr>
              <w:pStyle w:val="BodyText2"/>
              <w:jc w:val="center"/>
              <w:rPr>
                <w:sz w:val="18"/>
                <w:szCs w:val="18"/>
              </w:rPr>
            </w:pPr>
            <w:r w:rsidRPr="00E02202">
              <w:rPr>
                <w:b/>
                <w:sz w:val="18"/>
                <w:szCs w:val="18"/>
              </w:rPr>
              <w:t xml:space="preserve">Department, Board, Agency </w:t>
            </w:r>
            <w:r w:rsidRPr="00E02202">
              <w:rPr>
                <w:b/>
                <w:sz w:val="18"/>
                <w:szCs w:val="18"/>
              </w:rPr>
              <w:lastRenderedPageBreak/>
              <w:t>or Officer Authorized to Spend from Fund</w:t>
            </w:r>
          </w:p>
        </w:tc>
        <w:tc>
          <w:tcPr>
            <w:tcW w:w="1743" w:type="dxa"/>
            <w:shd w:val="clear" w:color="auto" w:fill="auto"/>
          </w:tcPr>
          <w:p w:rsidR="00970A3D" w:rsidRPr="00E02202" w:rsidRDefault="00970A3D" w:rsidP="009B716A">
            <w:pPr>
              <w:pStyle w:val="BodyText2"/>
              <w:jc w:val="center"/>
              <w:rPr>
                <w:b/>
                <w:sz w:val="18"/>
                <w:szCs w:val="18"/>
                <w:u w:val="single"/>
              </w:rPr>
            </w:pPr>
            <w:r w:rsidRPr="00E02202">
              <w:rPr>
                <w:b/>
                <w:sz w:val="18"/>
                <w:szCs w:val="18"/>
                <w:u w:val="single"/>
              </w:rPr>
              <w:lastRenderedPageBreak/>
              <w:t>C</w:t>
            </w:r>
          </w:p>
          <w:p w:rsidR="00970A3D" w:rsidRPr="00E02202" w:rsidRDefault="00970A3D" w:rsidP="009B716A">
            <w:pPr>
              <w:pStyle w:val="BodyText2"/>
              <w:jc w:val="center"/>
              <w:rPr>
                <w:b/>
                <w:sz w:val="18"/>
                <w:szCs w:val="18"/>
              </w:rPr>
            </w:pPr>
            <w:r w:rsidRPr="00E02202">
              <w:rPr>
                <w:b/>
                <w:sz w:val="18"/>
                <w:szCs w:val="18"/>
              </w:rPr>
              <w:lastRenderedPageBreak/>
              <w:t>Fees, Charges or Other Receipts Credited to Fund</w:t>
            </w:r>
          </w:p>
        </w:tc>
        <w:tc>
          <w:tcPr>
            <w:tcW w:w="1807" w:type="dxa"/>
            <w:shd w:val="clear" w:color="auto" w:fill="auto"/>
          </w:tcPr>
          <w:p w:rsidR="00970A3D" w:rsidRPr="00E02202" w:rsidRDefault="00970A3D" w:rsidP="009B716A">
            <w:pPr>
              <w:pStyle w:val="BodyText2"/>
              <w:jc w:val="center"/>
              <w:rPr>
                <w:b/>
                <w:sz w:val="18"/>
                <w:szCs w:val="18"/>
              </w:rPr>
            </w:pPr>
            <w:r w:rsidRPr="00E02202">
              <w:rPr>
                <w:b/>
                <w:sz w:val="18"/>
                <w:szCs w:val="18"/>
                <w:u w:val="single"/>
              </w:rPr>
              <w:lastRenderedPageBreak/>
              <w:t>D</w:t>
            </w:r>
          </w:p>
          <w:p w:rsidR="00970A3D" w:rsidRPr="00E02202" w:rsidRDefault="00970A3D" w:rsidP="009B716A">
            <w:pPr>
              <w:pStyle w:val="BodyText2"/>
              <w:jc w:val="center"/>
              <w:rPr>
                <w:b/>
                <w:sz w:val="18"/>
                <w:szCs w:val="18"/>
              </w:rPr>
            </w:pPr>
            <w:r w:rsidRPr="00E02202">
              <w:rPr>
                <w:b/>
                <w:sz w:val="18"/>
                <w:szCs w:val="18"/>
              </w:rPr>
              <w:lastRenderedPageBreak/>
              <w:t>Program or Activity Expenses Payable from Fund</w:t>
            </w:r>
          </w:p>
        </w:tc>
        <w:tc>
          <w:tcPr>
            <w:tcW w:w="1627" w:type="dxa"/>
            <w:shd w:val="clear" w:color="auto" w:fill="auto"/>
          </w:tcPr>
          <w:p w:rsidR="00970A3D" w:rsidRPr="00E02202" w:rsidRDefault="00970A3D" w:rsidP="009B716A">
            <w:pPr>
              <w:pStyle w:val="BodyText2"/>
              <w:jc w:val="center"/>
              <w:rPr>
                <w:b/>
                <w:sz w:val="18"/>
                <w:szCs w:val="18"/>
              </w:rPr>
            </w:pPr>
            <w:r w:rsidRPr="00E02202">
              <w:rPr>
                <w:b/>
                <w:sz w:val="18"/>
                <w:szCs w:val="18"/>
                <w:u w:val="single"/>
              </w:rPr>
              <w:lastRenderedPageBreak/>
              <w:t>E</w:t>
            </w:r>
          </w:p>
          <w:p w:rsidR="00970A3D" w:rsidRPr="00E02202" w:rsidRDefault="00970A3D" w:rsidP="009B716A">
            <w:pPr>
              <w:pStyle w:val="BodyText2"/>
              <w:jc w:val="center"/>
              <w:rPr>
                <w:b/>
                <w:sz w:val="18"/>
                <w:szCs w:val="18"/>
              </w:rPr>
            </w:pPr>
            <w:r w:rsidRPr="00E02202">
              <w:rPr>
                <w:b/>
                <w:sz w:val="18"/>
                <w:szCs w:val="18"/>
              </w:rPr>
              <w:t xml:space="preserve">Restrictions or Conditions on </w:t>
            </w:r>
            <w:r w:rsidRPr="00E02202">
              <w:rPr>
                <w:b/>
                <w:sz w:val="18"/>
                <w:szCs w:val="18"/>
              </w:rPr>
              <w:lastRenderedPageBreak/>
              <w:t>Expenses Payable from Fund</w:t>
            </w:r>
          </w:p>
        </w:tc>
        <w:tc>
          <w:tcPr>
            <w:tcW w:w="1956" w:type="dxa"/>
            <w:shd w:val="clear" w:color="auto" w:fill="auto"/>
          </w:tcPr>
          <w:p w:rsidR="00970A3D" w:rsidRPr="00E02202" w:rsidRDefault="00970A3D" w:rsidP="009B716A">
            <w:pPr>
              <w:pStyle w:val="BodyText2"/>
              <w:jc w:val="center"/>
              <w:rPr>
                <w:b/>
                <w:sz w:val="18"/>
                <w:szCs w:val="18"/>
              </w:rPr>
            </w:pPr>
            <w:r w:rsidRPr="00E02202">
              <w:rPr>
                <w:b/>
                <w:sz w:val="18"/>
                <w:szCs w:val="18"/>
                <w:u w:val="single"/>
              </w:rPr>
              <w:lastRenderedPageBreak/>
              <w:t>F</w:t>
            </w:r>
          </w:p>
          <w:p w:rsidR="00970A3D" w:rsidRPr="00E02202" w:rsidRDefault="00970A3D" w:rsidP="009B716A">
            <w:pPr>
              <w:pStyle w:val="BodyText2"/>
              <w:jc w:val="center"/>
              <w:rPr>
                <w:b/>
                <w:sz w:val="18"/>
                <w:szCs w:val="18"/>
              </w:rPr>
            </w:pPr>
            <w:r w:rsidRPr="00E02202">
              <w:rPr>
                <w:b/>
                <w:sz w:val="18"/>
                <w:szCs w:val="18"/>
              </w:rPr>
              <w:t>Other Requirements/Reports</w:t>
            </w:r>
          </w:p>
        </w:tc>
        <w:tc>
          <w:tcPr>
            <w:tcW w:w="1016" w:type="dxa"/>
            <w:shd w:val="clear" w:color="auto" w:fill="auto"/>
          </w:tcPr>
          <w:p w:rsidR="00970A3D" w:rsidRPr="00E02202" w:rsidRDefault="00970A3D" w:rsidP="009B716A">
            <w:pPr>
              <w:pStyle w:val="BodyText2"/>
              <w:jc w:val="center"/>
              <w:rPr>
                <w:b/>
                <w:sz w:val="18"/>
                <w:szCs w:val="18"/>
              </w:rPr>
            </w:pPr>
            <w:r w:rsidRPr="00E02202">
              <w:rPr>
                <w:b/>
                <w:sz w:val="18"/>
                <w:szCs w:val="18"/>
                <w:u w:val="single"/>
              </w:rPr>
              <w:t>G</w:t>
            </w:r>
          </w:p>
          <w:p w:rsidR="00970A3D" w:rsidRPr="00E02202" w:rsidRDefault="00970A3D" w:rsidP="009B716A">
            <w:pPr>
              <w:pStyle w:val="BodyText2"/>
              <w:jc w:val="center"/>
              <w:rPr>
                <w:b/>
                <w:sz w:val="18"/>
                <w:szCs w:val="18"/>
              </w:rPr>
            </w:pPr>
            <w:r w:rsidRPr="00E02202">
              <w:rPr>
                <w:b/>
                <w:sz w:val="18"/>
                <w:szCs w:val="18"/>
              </w:rPr>
              <w:t>Fiscal Years</w:t>
            </w:r>
          </w:p>
        </w:tc>
      </w:tr>
      <w:tr w:rsidR="00970A3D" w:rsidTr="009B716A">
        <w:trPr>
          <w:trHeight w:val="620"/>
        </w:trPr>
        <w:tc>
          <w:tcPr>
            <w:tcW w:w="1247" w:type="dxa"/>
            <w:shd w:val="clear" w:color="auto" w:fill="auto"/>
          </w:tcPr>
          <w:p w:rsidR="00970A3D" w:rsidRPr="00E02202" w:rsidRDefault="00970A3D" w:rsidP="009B716A">
            <w:pPr>
              <w:pStyle w:val="BodyText2"/>
              <w:rPr>
                <w:sz w:val="18"/>
                <w:szCs w:val="18"/>
              </w:rPr>
            </w:pPr>
            <w:r w:rsidRPr="00E02202">
              <w:rPr>
                <w:sz w:val="18"/>
                <w:szCs w:val="18"/>
              </w:rPr>
              <w:t>Inspectional Services</w:t>
            </w:r>
          </w:p>
        </w:tc>
        <w:tc>
          <w:tcPr>
            <w:tcW w:w="1494" w:type="dxa"/>
            <w:shd w:val="clear" w:color="auto" w:fill="auto"/>
          </w:tcPr>
          <w:p w:rsidR="00970A3D" w:rsidRPr="00E02202" w:rsidRDefault="00970A3D" w:rsidP="009B716A">
            <w:pPr>
              <w:pStyle w:val="BodyText2"/>
              <w:rPr>
                <w:sz w:val="18"/>
                <w:szCs w:val="18"/>
              </w:rPr>
            </w:pPr>
            <w:r w:rsidRPr="00E02202">
              <w:rPr>
                <w:sz w:val="18"/>
                <w:szCs w:val="18"/>
              </w:rPr>
              <w:t>Building Inspector</w:t>
            </w:r>
          </w:p>
        </w:tc>
        <w:tc>
          <w:tcPr>
            <w:tcW w:w="1743" w:type="dxa"/>
            <w:shd w:val="clear" w:color="auto" w:fill="auto"/>
          </w:tcPr>
          <w:p w:rsidR="00970A3D" w:rsidRPr="00E02202" w:rsidRDefault="00970A3D" w:rsidP="009B716A">
            <w:pPr>
              <w:pStyle w:val="BodyText2"/>
              <w:rPr>
                <w:sz w:val="18"/>
                <w:szCs w:val="18"/>
              </w:rPr>
            </w:pPr>
            <w:r w:rsidRPr="00E02202">
              <w:rPr>
                <w:sz w:val="18"/>
                <w:szCs w:val="18"/>
              </w:rPr>
              <w:t>Fees charged and received by the Building Department for gas, plumbing and electrical services</w:t>
            </w:r>
          </w:p>
        </w:tc>
        <w:tc>
          <w:tcPr>
            <w:tcW w:w="1807" w:type="dxa"/>
            <w:shd w:val="clear" w:color="auto" w:fill="auto"/>
          </w:tcPr>
          <w:p w:rsidR="00970A3D" w:rsidRPr="00E02202" w:rsidRDefault="00970A3D" w:rsidP="009B716A">
            <w:pPr>
              <w:pStyle w:val="BodyText2"/>
              <w:rPr>
                <w:sz w:val="18"/>
                <w:szCs w:val="18"/>
              </w:rPr>
            </w:pPr>
            <w:r w:rsidRPr="00E02202">
              <w:rPr>
                <w:sz w:val="18"/>
                <w:szCs w:val="18"/>
              </w:rPr>
              <w:t>Salaries or wages of inspectors performing gas, plumbing and electric inspections</w:t>
            </w:r>
          </w:p>
        </w:tc>
        <w:tc>
          <w:tcPr>
            <w:tcW w:w="1627" w:type="dxa"/>
            <w:shd w:val="clear" w:color="auto" w:fill="auto"/>
          </w:tcPr>
          <w:p w:rsidR="00970A3D" w:rsidRPr="002B3E99" w:rsidRDefault="00970A3D" w:rsidP="009B716A">
            <w:pPr>
              <w:pStyle w:val="BodyText2"/>
              <w:rPr>
                <w:sz w:val="18"/>
              </w:rPr>
            </w:pPr>
            <w:r w:rsidRPr="002B3E99">
              <w:rPr>
                <w:sz w:val="18"/>
                <w:szCs w:val="18"/>
              </w:rPr>
              <w:t>Annual Expenditures not to exceed: $</w:t>
            </w:r>
            <w:r>
              <w:rPr>
                <w:sz w:val="18"/>
                <w:szCs w:val="18"/>
              </w:rPr>
              <w:t>20,000</w:t>
            </w:r>
          </w:p>
        </w:tc>
        <w:tc>
          <w:tcPr>
            <w:tcW w:w="1956" w:type="dxa"/>
            <w:shd w:val="clear" w:color="auto" w:fill="auto"/>
          </w:tcPr>
          <w:p w:rsidR="00970A3D" w:rsidRPr="002B3E99" w:rsidRDefault="00970A3D" w:rsidP="009B716A">
            <w:pPr>
              <w:pStyle w:val="BodyText2"/>
              <w:rPr>
                <w:sz w:val="18"/>
              </w:rPr>
            </w:pPr>
            <w:r w:rsidRPr="002B3E99">
              <w:rPr>
                <w:sz w:val="18"/>
                <w:szCs w:val="18"/>
              </w:rPr>
              <w:t>Fund carryover balance not to exceed: $</w:t>
            </w:r>
            <w:r>
              <w:rPr>
                <w:sz w:val="18"/>
                <w:szCs w:val="18"/>
              </w:rPr>
              <w:t>25,000</w:t>
            </w:r>
          </w:p>
        </w:tc>
        <w:tc>
          <w:tcPr>
            <w:tcW w:w="1016" w:type="dxa"/>
            <w:shd w:val="clear" w:color="auto" w:fill="auto"/>
          </w:tcPr>
          <w:p w:rsidR="00970A3D" w:rsidRPr="00E02202" w:rsidRDefault="00970A3D" w:rsidP="009B716A">
            <w:pPr>
              <w:pStyle w:val="BodyText2"/>
              <w:rPr>
                <w:sz w:val="18"/>
                <w:szCs w:val="18"/>
              </w:rPr>
            </w:pPr>
            <w:r w:rsidRPr="00E02202">
              <w:rPr>
                <w:sz w:val="18"/>
                <w:szCs w:val="18"/>
              </w:rPr>
              <w:t>Fiscal Year 2019 and subsequent years</w:t>
            </w:r>
          </w:p>
        </w:tc>
      </w:tr>
      <w:tr w:rsidR="00970A3D" w:rsidTr="009B716A">
        <w:trPr>
          <w:trHeight w:val="620"/>
        </w:trPr>
        <w:tc>
          <w:tcPr>
            <w:tcW w:w="1247" w:type="dxa"/>
            <w:shd w:val="clear" w:color="auto" w:fill="auto"/>
          </w:tcPr>
          <w:p w:rsidR="00970A3D" w:rsidRPr="00E02202" w:rsidRDefault="00970A3D" w:rsidP="009B716A">
            <w:pPr>
              <w:pStyle w:val="BodyText2"/>
              <w:rPr>
                <w:sz w:val="18"/>
                <w:szCs w:val="18"/>
              </w:rPr>
            </w:pPr>
            <w:r w:rsidRPr="00E02202">
              <w:rPr>
                <w:sz w:val="18"/>
                <w:szCs w:val="18"/>
              </w:rPr>
              <w:t>Board of Appeals</w:t>
            </w:r>
          </w:p>
        </w:tc>
        <w:tc>
          <w:tcPr>
            <w:tcW w:w="1494" w:type="dxa"/>
            <w:shd w:val="clear" w:color="auto" w:fill="auto"/>
          </w:tcPr>
          <w:p w:rsidR="00970A3D" w:rsidRPr="00E02202" w:rsidRDefault="00970A3D" w:rsidP="009B716A">
            <w:pPr>
              <w:pStyle w:val="BodyText2"/>
              <w:rPr>
                <w:sz w:val="18"/>
                <w:szCs w:val="18"/>
              </w:rPr>
            </w:pPr>
            <w:r w:rsidRPr="00E02202">
              <w:rPr>
                <w:sz w:val="18"/>
                <w:szCs w:val="18"/>
              </w:rPr>
              <w:t>Zoning Board of Appeals</w:t>
            </w:r>
          </w:p>
        </w:tc>
        <w:tc>
          <w:tcPr>
            <w:tcW w:w="1743" w:type="dxa"/>
            <w:shd w:val="clear" w:color="auto" w:fill="auto"/>
          </w:tcPr>
          <w:p w:rsidR="00970A3D" w:rsidRPr="00E02202" w:rsidRDefault="00970A3D" w:rsidP="009B716A">
            <w:pPr>
              <w:pStyle w:val="BodyText2"/>
              <w:rPr>
                <w:sz w:val="18"/>
                <w:szCs w:val="18"/>
              </w:rPr>
            </w:pPr>
            <w:r w:rsidRPr="00E02202">
              <w:rPr>
                <w:sz w:val="18"/>
                <w:szCs w:val="18"/>
              </w:rPr>
              <w:t>Fees charged and received by the ZBA for the application process (filing fee, postage and advertising)</w:t>
            </w:r>
          </w:p>
        </w:tc>
        <w:tc>
          <w:tcPr>
            <w:tcW w:w="1807" w:type="dxa"/>
            <w:shd w:val="clear" w:color="auto" w:fill="auto"/>
          </w:tcPr>
          <w:p w:rsidR="00970A3D" w:rsidRPr="00E02202" w:rsidRDefault="00970A3D" w:rsidP="009B716A">
            <w:pPr>
              <w:pStyle w:val="BodyText2"/>
              <w:rPr>
                <w:sz w:val="18"/>
                <w:szCs w:val="18"/>
              </w:rPr>
            </w:pPr>
            <w:r w:rsidRPr="00E02202">
              <w:rPr>
                <w:sz w:val="18"/>
                <w:szCs w:val="18"/>
              </w:rPr>
              <w:t>Postage to mail notifications to abutters and advertising fees for legal notices</w:t>
            </w:r>
          </w:p>
        </w:tc>
        <w:tc>
          <w:tcPr>
            <w:tcW w:w="1627" w:type="dxa"/>
            <w:shd w:val="clear" w:color="auto" w:fill="auto"/>
          </w:tcPr>
          <w:p w:rsidR="00970A3D" w:rsidRPr="00E02202" w:rsidRDefault="00970A3D" w:rsidP="009B716A">
            <w:pPr>
              <w:pStyle w:val="BodyText2"/>
              <w:rPr>
                <w:sz w:val="18"/>
                <w:szCs w:val="18"/>
              </w:rPr>
            </w:pPr>
            <w:r w:rsidRPr="002B3E99">
              <w:rPr>
                <w:sz w:val="18"/>
                <w:szCs w:val="18"/>
              </w:rPr>
              <w:t>Annual Expenditures not to exceed: $</w:t>
            </w:r>
            <w:r>
              <w:rPr>
                <w:sz w:val="18"/>
                <w:szCs w:val="18"/>
              </w:rPr>
              <w:t>5,000</w:t>
            </w:r>
          </w:p>
        </w:tc>
        <w:tc>
          <w:tcPr>
            <w:tcW w:w="1956" w:type="dxa"/>
            <w:shd w:val="clear" w:color="auto" w:fill="auto"/>
          </w:tcPr>
          <w:p w:rsidR="00970A3D" w:rsidRPr="00E02202" w:rsidRDefault="00970A3D" w:rsidP="009B716A">
            <w:pPr>
              <w:pStyle w:val="BodyText2"/>
              <w:rPr>
                <w:sz w:val="18"/>
                <w:szCs w:val="18"/>
              </w:rPr>
            </w:pPr>
            <w:r w:rsidRPr="002B3E99">
              <w:rPr>
                <w:sz w:val="18"/>
                <w:szCs w:val="18"/>
              </w:rPr>
              <w:t>Fund carryover balance not to exceed: $</w:t>
            </w:r>
            <w:r>
              <w:rPr>
                <w:sz w:val="18"/>
                <w:szCs w:val="18"/>
              </w:rPr>
              <w:t>3,000</w:t>
            </w:r>
          </w:p>
        </w:tc>
        <w:tc>
          <w:tcPr>
            <w:tcW w:w="1016" w:type="dxa"/>
            <w:shd w:val="clear" w:color="auto" w:fill="auto"/>
          </w:tcPr>
          <w:p w:rsidR="00970A3D" w:rsidRDefault="00970A3D" w:rsidP="009B716A">
            <w:r w:rsidRPr="00E02202">
              <w:rPr>
                <w:sz w:val="18"/>
                <w:szCs w:val="18"/>
              </w:rPr>
              <w:t>Fiscal Year 2019 and subsequent years</w:t>
            </w:r>
          </w:p>
        </w:tc>
      </w:tr>
      <w:tr w:rsidR="00970A3D" w:rsidTr="009B716A">
        <w:trPr>
          <w:trHeight w:val="620"/>
        </w:trPr>
        <w:tc>
          <w:tcPr>
            <w:tcW w:w="1247" w:type="dxa"/>
            <w:shd w:val="clear" w:color="auto" w:fill="auto"/>
          </w:tcPr>
          <w:p w:rsidR="00970A3D" w:rsidRPr="00E02202" w:rsidRDefault="00970A3D" w:rsidP="009B716A">
            <w:pPr>
              <w:pStyle w:val="BodyText2"/>
              <w:rPr>
                <w:sz w:val="18"/>
                <w:szCs w:val="18"/>
              </w:rPr>
            </w:pPr>
            <w:r w:rsidRPr="00E02202">
              <w:rPr>
                <w:sz w:val="18"/>
                <w:szCs w:val="18"/>
              </w:rPr>
              <w:t>Composting Bins</w:t>
            </w:r>
          </w:p>
        </w:tc>
        <w:tc>
          <w:tcPr>
            <w:tcW w:w="1494" w:type="dxa"/>
            <w:shd w:val="clear" w:color="auto" w:fill="auto"/>
          </w:tcPr>
          <w:p w:rsidR="00970A3D" w:rsidRPr="002B3E99" w:rsidRDefault="00970A3D" w:rsidP="009B716A">
            <w:pPr>
              <w:pStyle w:val="BodyText2"/>
              <w:rPr>
                <w:sz w:val="18"/>
              </w:rPr>
            </w:pPr>
            <w:r w:rsidRPr="002B3E99">
              <w:rPr>
                <w:sz w:val="18"/>
                <w:szCs w:val="18"/>
              </w:rPr>
              <w:t>Transfer Station</w:t>
            </w:r>
          </w:p>
        </w:tc>
        <w:tc>
          <w:tcPr>
            <w:tcW w:w="1743" w:type="dxa"/>
            <w:shd w:val="clear" w:color="auto" w:fill="auto"/>
          </w:tcPr>
          <w:p w:rsidR="00970A3D" w:rsidRPr="002B3E99" w:rsidRDefault="00970A3D" w:rsidP="009B716A">
            <w:pPr>
              <w:pStyle w:val="BodyText2"/>
              <w:rPr>
                <w:sz w:val="18"/>
              </w:rPr>
            </w:pPr>
            <w:r w:rsidRPr="002B3E99">
              <w:rPr>
                <w:sz w:val="18"/>
                <w:szCs w:val="18"/>
              </w:rPr>
              <w:t>Revenue from the sale of compost bins</w:t>
            </w:r>
          </w:p>
        </w:tc>
        <w:tc>
          <w:tcPr>
            <w:tcW w:w="1807" w:type="dxa"/>
            <w:shd w:val="clear" w:color="auto" w:fill="auto"/>
          </w:tcPr>
          <w:p w:rsidR="00970A3D" w:rsidRPr="002B3E99" w:rsidRDefault="00970A3D" w:rsidP="009B716A">
            <w:pPr>
              <w:pStyle w:val="BodyText2"/>
              <w:rPr>
                <w:sz w:val="18"/>
              </w:rPr>
            </w:pPr>
            <w:r w:rsidRPr="002B3E99">
              <w:rPr>
                <w:sz w:val="18"/>
                <w:szCs w:val="18"/>
              </w:rPr>
              <w:t xml:space="preserve">Purchase of bins and accessories for sale to the public, and related signage and program advertisement </w:t>
            </w:r>
          </w:p>
        </w:tc>
        <w:tc>
          <w:tcPr>
            <w:tcW w:w="1627" w:type="dxa"/>
            <w:shd w:val="clear" w:color="auto" w:fill="auto"/>
          </w:tcPr>
          <w:p w:rsidR="00970A3D" w:rsidRPr="00E02202" w:rsidRDefault="00970A3D" w:rsidP="009B716A">
            <w:pPr>
              <w:pStyle w:val="BodyText2"/>
              <w:rPr>
                <w:sz w:val="18"/>
                <w:szCs w:val="18"/>
              </w:rPr>
            </w:pPr>
            <w:r w:rsidRPr="002B3E99">
              <w:rPr>
                <w:sz w:val="18"/>
                <w:szCs w:val="18"/>
              </w:rPr>
              <w:t>Annual Expenditures not to exceed: $</w:t>
            </w:r>
            <w:r>
              <w:rPr>
                <w:sz w:val="18"/>
                <w:szCs w:val="18"/>
              </w:rPr>
              <w:t>1,000</w:t>
            </w:r>
          </w:p>
        </w:tc>
        <w:tc>
          <w:tcPr>
            <w:tcW w:w="1956" w:type="dxa"/>
            <w:shd w:val="clear" w:color="auto" w:fill="auto"/>
          </w:tcPr>
          <w:p w:rsidR="00970A3D" w:rsidRPr="00E02202" w:rsidRDefault="00970A3D" w:rsidP="009B716A">
            <w:pPr>
              <w:pStyle w:val="BodyText2"/>
              <w:rPr>
                <w:sz w:val="18"/>
                <w:szCs w:val="18"/>
              </w:rPr>
            </w:pPr>
            <w:r w:rsidRPr="002B3E99">
              <w:rPr>
                <w:sz w:val="18"/>
                <w:szCs w:val="18"/>
              </w:rPr>
              <w:t>Fund carryover balance not to exceed: $</w:t>
            </w:r>
            <w:r>
              <w:rPr>
                <w:sz w:val="18"/>
                <w:szCs w:val="18"/>
              </w:rPr>
              <w:t>1,500</w:t>
            </w:r>
          </w:p>
        </w:tc>
        <w:tc>
          <w:tcPr>
            <w:tcW w:w="1016" w:type="dxa"/>
            <w:shd w:val="clear" w:color="auto" w:fill="auto"/>
          </w:tcPr>
          <w:p w:rsidR="00970A3D" w:rsidRDefault="00970A3D" w:rsidP="009B716A">
            <w:r w:rsidRPr="00E02202">
              <w:rPr>
                <w:sz w:val="18"/>
                <w:szCs w:val="18"/>
              </w:rPr>
              <w:t>Fiscal Year 2019 and subsequent years</w:t>
            </w:r>
          </w:p>
        </w:tc>
      </w:tr>
      <w:tr w:rsidR="00970A3D" w:rsidTr="009B716A">
        <w:trPr>
          <w:trHeight w:val="620"/>
        </w:trPr>
        <w:tc>
          <w:tcPr>
            <w:tcW w:w="1247" w:type="dxa"/>
            <w:shd w:val="clear" w:color="auto" w:fill="auto"/>
          </w:tcPr>
          <w:p w:rsidR="00970A3D" w:rsidRPr="00E02202" w:rsidRDefault="00970A3D" w:rsidP="009B716A">
            <w:pPr>
              <w:pStyle w:val="BodyText2"/>
              <w:rPr>
                <w:sz w:val="18"/>
                <w:szCs w:val="18"/>
              </w:rPr>
            </w:pPr>
            <w:r w:rsidRPr="00E02202">
              <w:rPr>
                <w:sz w:val="18"/>
                <w:szCs w:val="18"/>
              </w:rPr>
              <w:t>Building &amp; Fire Inspection Education</w:t>
            </w:r>
          </w:p>
        </w:tc>
        <w:tc>
          <w:tcPr>
            <w:tcW w:w="1494" w:type="dxa"/>
            <w:shd w:val="clear" w:color="auto" w:fill="auto"/>
          </w:tcPr>
          <w:p w:rsidR="00970A3D" w:rsidRPr="00E02202" w:rsidRDefault="00970A3D" w:rsidP="009B716A">
            <w:pPr>
              <w:pStyle w:val="BodyText2"/>
              <w:rPr>
                <w:sz w:val="18"/>
                <w:szCs w:val="18"/>
              </w:rPr>
            </w:pPr>
            <w:r w:rsidRPr="00E02202">
              <w:rPr>
                <w:sz w:val="18"/>
                <w:szCs w:val="18"/>
              </w:rPr>
              <w:t>Building Inspector</w:t>
            </w:r>
          </w:p>
        </w:tc>
        <w:tc>
          <w:tcPr>
            <w:tcW w:w="1743" w:type="dxa"/>
            <w:shd w:val="clear" w:color="auto" w:fill="auto"/>
          </w:tcPr>
          <w:p w:rsidR="00970A3D" w:rsidRPr="00E02202" w:rsidRDefault="00970A3D" w:rsidP="009B716A">
            <w:pPr>
              <w:pStyle w:val="BodyText2"/>
              <w:rPr>
                <w:sz w:val="18"/>
                <w:szCs w:val="18"/>
              </w:rPr>
            </w:pPr>
            <w:r w:rsidRPr="00E02202">
              <w:rPr>
                <w:sz w:val="18"/>
                <w:szCs w:val="18"/>
              </w:rPr>
              <w:t>Fines received under MGL 248A</w:t>
            </w:r>
          </w:p>
        </w:tc>
        <w:tc>
          <w:tcPr>
            <w:tcW w:w="1807" w:type="dxa"/>
            <w:shd w:val="clear" w:color="auto" w:fill="auto"/>
          </w:tcPr>
          <w:p w:rsidR="00970A3D" w:rsidRPr="002B3E99" w:rsidRDefault="00970A3D" w:rsidP="009B716A">
            <w:pPr>
              <w:pStyle w:val="BodyText2"/>
              <w:rPr>
                <w:sz w:val="18"/>
              </w:rPr>
            </w:pPr>
            <w:r w:rsidRPr="002B3E99">
              <w:rPr>
                <w:sz w:val="18"/>
                <w:szCs w:val="18"/>
              </w:rPr>
              <w:t xml:space="preserve">Program and educational materials, signage and advertising related to taxpayer information and education </w:t>
            </w:r>
          </w:p>
        </w:tc>
        <w:tc>
          <w:tcPr>
            <w:tcW w:w="1627" w:type="dxa"/>
            <w:shd w:val="clear" w:color="auto" w:fill="auto"/>
          </w:tcPr>
          <w:p w:rsidR="00970A3D" w:rsidRPr="00E02202" w:rsidRDefault="00970A3D" w:rsidP="009B716A">
            <w:pPr>
              <w:pStyle w:val="BodyText2"/>
              <w:rPr>
                <w:sz w:val="18"/>
                <w:szCs w:val="18"/>
              </w:rPr>
            </w:pPr>
            <w:r w:rsidRPr="002B3E99">
              <w:rPr>
                <w:sz w:val="18"/>
                <w:szCs w:val="18"/>
              </w:rPr>
              <w:t>Annual Expenditures not to exceed: $</w:t>
            </w:r>
            <w:r>
              <w:rPr>
                <w:sz w:val="18"/>
                <w:szCs w:val="18"/>
              </w:rPr>
              <w:t>2,500</w:t>
            </w:r>
          </w:p>
        </w:tc>
        <w:tc>
          <w:tcPr>
            <w:tcW w:w="1956" w:type="dxa"/>
            <w:shd w:val="clear" w:color="auto" w:fill="auto"/>
          </w:tcPr>
          <w:p w:rsidR="00970A3D" w:rsidRPr="00E02202" w:rsidRDefault="00970A3D" w:rsidP="009B716A">
            <w:pPr>
              <w:pStyle w:val="BodyText2"/>
              <w:rPr>
                <w:sz w:val="18"/>
                <w:szCs w:val="18"/>
              </w:rPr>
            </w:pPr>
            <w:r w:rsidRPr="002B3E99">
              <w:rPr>
                <w:sz w:val="18"/>
                <w:szCs w:val="18"/>
              </w:rPr>
              <w:t>Fund carryover balance not to exceed: $</w:t>
            </w:r>
            <w:r>
              <w:rPr>
                <w:sz w:val="18"/>
                <w:szCs w:val="18"/>
              </w:rPr>
              <w:t>5,000</w:t>
            </w:r>
          </w:p>
        </w:tc>
        <w:tc>
          <w:tcPr>
            <w:tcW w:w="1016" w:type="dxa"/>
            <w:shd w:val="clear" w:color="auto" w:fill="auto"/>
          </w:tcPr>
          <w:p w:rsidR="00970A3D" w:rsidRDefault="00970A3D" w:rsidP="009B716A">
            <w:r w:rsidRPr="00E02202">
              <w:rPr>
                <w:sz w:val="18"/>
                <w:szCs w:val="18"/>
              </w:rPr>
              <w:t>Fiscal Year 2019 and subsequent years</w:t>
            </w:r>
          </w:p>
        </w:tc>
      </w:tr>
      <w:tr w:rsidR="00970A3D" w:rsidTr="009B716A">
        <w:trPr>
          <w:trHeight w:val="620"/>
        </w:trPr>
        <w:tc>
          <w:tcPr>
            <w:tcW w:w="1247" w:type="dxa"/>
            <w:shd w:val="clear" w:color="auto" w:fill="auto"/>
          </w:tcPr>
          <w:p w:rsidR="00970A3D" w:rsidRPr="00E02202" w:rsidRDefault="00970A3D" w:rsidP="009B716A">
            <w:pPr>
              <w:pStyle w:val="BodyText2"/>
              <w:rPr>
                <w:sz w:val="18"/>
                <w:szCs w:val="18"/>
              </w:rPr>
            </w:pPr>
            <w:r w:rsidRPr="00E02202">
              <w:rPr>
                <w:sz w:val="18"/>
                <w:szCs w:val="18"/>
              </w:rPr>
              <w:t xml:space="preserve">Community Center &amp; Bally </w:t>
            </w:r>
            <w:proofErr w:type="spellStart"/>
            <w:r w:rsidRPr="00E02202">
              <w:rPr>
                <w:sz w:val="18"/>
                <w:szCs w:val="18"/>
              </w:rPr>
              <w:t>Gally</w:t>
            </w:r>
            <w:proofErr w:type="spellEnd"/>
          </w:p>
        </w:tc>
        <w:tc>
          <w:tcPr>
            <w:tcW w:w="1494" w:type="dxa"/>
            <w:shd w:val="clear" w:color="auto" w:fill="auto"/>
          </w:tcPr>
          <w:p w:rsidR="00970A3D" w:rsidRPr="00E02202" w:rsidRDefault="00970A3D" w:rsidP="009B716A">
            <w:pPr>
              <w:pStyle w:val="BodyText2"/>
              <w:rPr>
                <w:sz w:val="18"/>
                <w:szCs w:val="18"/>
              </w:rPr>
            </w:pPr>
            <w:r w:rsidRPr="00E02202">
              <w:rPr>
                <w:sz w:val="18"/>
                <w:szCs w:val="18"/>
              </w:rPr>
              <w:t>Select Board and Community Center Administration</w:t>
            </w:r>
          </w:p>
        </w:tc>
        <w:tc>
          <w:tcPr>
            <w:tcW w:w="1743" w:type="dxa"/>
            <w:shd w:val="clear" w:color="auto" w:fill="auto"/>
          </w:tcPr>
          <w:p w:rsidR="00970A3D" w:rsidRPr="00E02202" w:rsidRDefault="00970A3D" w:rsidP="009B716A">
            <w:pPr>
              <w:pStyle w:val="BodyText2"/>
              <w:rPr>
                <w:sz w:val="18"/>
                <w:szCs w:val="18"/>
              </w:rPr>
            </w:pPr>
            <w:r w:rsidRPr="00E02202">
              <w:rPr>
                <w:sz w:val="18"/>
                <w:szCs w:val="18"/>
              </w:rPr>
              <w:t xml:space="preserve">Rental monies collected from Bally </w:t>
            </w:r>
            <w:proofErr w:type="spellStart"/>
            <w:r w:rsidRPr="00E02202">
              <w:rPr>
                <w:sz w:val="18"/>
                <w:szCs w:val="18"/>
              </w:rPr>
              <w:t>Gally</w:t>
            </w:r>
            <w:proofErr w:type="spellEnd"/>
            <w:r w:rsidRPr="00E02202">
              <w:rPr>
                <w:sz w:val="18"/>
                <w:szCs w:val="18"/>
              </w:rPr>
              <w:t xml:space="preserve"> and fees charged by the Community Center for the use of the center</w:t>
            </w:r>
          </w:p>
        </w:tc>
        <w:tc>
          <w:tcPr>
            <w:tcW w:w="1807" w:type="dxa"/>
            <w:shd w:val="clear" w:color="auto" w:fill="auto"/>
          </w:tcPr>
          <w:p w:rsidR="00970A3D" w:rsidRPr="00E02202" w:rsidRDefault="00970A3D" w:rsidP="009B716A">
            <w:pPr>
              <w:pStyle w:val="BodyText2"/>
              <w:rPr>
                <w:sz w:val="18"/>
                <w:szCs w:val="18"/>
              </w:rPr>
            </w:pPr>
            <w:r w:rsidRPr="00E02202">
              <w:rPr>
                <w:sz w:val="18"/>
                <w:szCs w:val="18"/>
              </w:rPr>
              <w:t xml:space="preserve">Community Center: Wages of expenses, supplies and contractual services to </w:t>
            </w:r>
            <w:r>
              <w:rPr>
                <w:sz w:val="18"/>
                <w:szCs w:val="18"/>
              </w:rPr>
              <w:t xml:space="preserve">maintain and </w:t>
            </w:r>
            <w:r w:rsidRPr="00E02202">
              <w:rPr>
                <w:sz w:val="18"/>
                <w:szCs w:val="18"/>
              </w:rPr>
              <w:t>operate the Community Center.</w:t>
            </w:r>
          </w:p>
          <w:p w:rsidR="00970A3D" w:rsidRPr="00E02202" w:rsidRDefault="00970A3D" w:rsidP="009B716A">
            <w:pPr>
              <w:pStyle w:val="BodyText2"/>
              <w:rPr>
                <w:sz w:val="18"/>
                <w:szCs w:val="18"/>
              </w:rPr>
            </w:pPr>
            <w:r w:rsidRPr="00E02202">
              <w:rPr>
                <w:sz w:val="18"/>
                <w:szCs w:val="18"/>
              </w:rPr>
              <w:t xml:space="preserve">Bally </w:t>
            </w:r>
            <w:proofErr w:type="spellStart"/>
            <w:r w:rsidRPr="00E02202">
              <w:rPr>
                <w:sz w:val="18"/>
                <w:szCs w:val="18"/>
              </w:rPr>
              <w:t>Gally</w:t>
            </w:r>
            <w:proofErr w:type="spellEnd"/>
            <w:r w:rsidRPr="00E02202">
              <w:rPr>
                <w:sz w:val="18"/>
                <w:szCs w:val="18"/>
              </w:rPr>
              <w:t xml:space="preserve">: Expenses, supplies and contractual services to maintain and repair Bally </w:t>
            </w:r>
            <w:proofErr w:type="spellStart"/>
            <w:r w:rsidRPr="00E02202">
              <w:rPr>
                <w:sz w:val="18"/>
                <w:szCs w:val="18"/>
              </w:rPr>
              <w:t>Gally</w:t>
            </w:r>
            <w:proofErr w:type="spellEnd"/>
          </w:p>
        </w:tc>
        <w:tc>
          <w:tcPr>
            <w:tcW w:w="1627" w:type="dxa"/>
            <w:shd w:val="clear" w:color="auto" w:fill="auto"/>
          </w:tcPr>
          <w:p w:rsidR="00970A3D" w:rsidRPr="00E02202" w:rsidRDefault="00970A3D" w:rsidP="009B716A">
            <w:pPr>
              <w:pStyle w:val="BodyText2"/>
              <w:rPr>
                <w:sz w:val="18"/>
                <w:szCs w:val="18"/>
              </w:rPr>
            </w:pPr>
            <w:r w:rsidRPr="00E02202">
              <w:rPr>
                <w:sz w:val="18"/>
                <w:szCs w:val="18"/>
              </w:rPr>
              <w:t>The Community Center may expend up to $</w:t>
            </w:r>
            <w:r>
              <w:rPr>
                <w:sz w:val="18"/>
                <w:szCs w:val="18"/>
              </w:rPr>
              <w:t>11,349</w:t>
            </w:r>
            <w:r w:rsidRPr="00E02202">
              <w:rPr>
                <w:sz w:val="18"/>
                <w:szCs w:val="18"/>
              </w:rPr>
              <w:t xml:space="preserve"> per year for approved expenses. Bally </w:t>
            </w:r>
            <w:proofErr w:type="spellStart"/>
            <w:r w:rsidRPr="00E02202">
              <w:rPr>
                <w:sz w:val="18"/>
                <w:szCs w:val="18"/>
              </w:rPr>
              <w:t>Gally</w:t>
            </w:r>
            <w:proofErr w:type="spellEnd"/>
            <w:r w:rsidRPr="00E02202">
              <w:rPr>
                <w:sz w:val="18"/>
                <w:szCs w:val="18"/>
              </w:rPr>
              <w:t xml:space="preserve"> may spend up to $</w:t>
            </w:r>
            <w:r>
              <w:rPr>
                <w:sz w:val="18"/>
                <w:szCs w:val="18"/>
              </w:rPr>
              <w:t>1,5</w:t>
            </w:r>
            <w:r w:rsidRPr="00E02202">
              <w:rPr>
                <w:sz w:val="18"/>
                <w:szCs w:val="18"/>
              </w:rPr>
              <w:t>00 per year on necessary maintenance and repairs.</w:t>
            </w:r>
          </w:p>
        </w:tc>
        <w:tc>
          <w:tcPr>
            <w:tcW w:w="1956" w:type="dxa"/>
            <w:shd w:val="clear" w:color="auto" w:fill="auto"/>
          </w:tcPr>
          <w:p w:rsidR="00970A3D" w:rsidRPr="00E02202" w:rsidRDefault="00970A3D" w:rsidP="009B716A">
            <w:pPr>
              <w:pStyle w:val="BodyText2"/>
              <w:rPr>
                <w:sz w:val="18"/>
                <w:szCs w:val="18"/>
              </w:rPr>
            </w:pPr>
            <w:r w:rsidRPr="002B3E99">
              <w:rPr>
                <w:sz w:val="18"/>
                <w:szCs w:val="18"/>
              </w:rPr>
              <w:t>Fund carryover balance not to exceed: $</w:t>
            </w:r>
            <w:r>
              <w:rPr>
                <w:sz w:val="18"/>
                <w:szCs w:val="18"/>
              </w:rPr>
              <w:t>50,000</w:t>
            </w:r>
          </w:p>
        </w:tc>
        <w:tc>
          <w:tcPr>
            <w:tcW w:w="1016" w:type="dxa"/>
            <w:shd w:val="clear" w:color="auto" w:fill="auto"/>
          </w:tcPr>
          <w:p w:rsidR="00970A3D" w:rsidRDefault="00970A3D" w:rsidP="009B716A">
            <w:r w:rsidRPr="00E02202">
              <w:rPr>
                <w:sz w:val="18"/>
                <w:szCs w:val="18"/>
              </w:rPr>
              <w:t>Fiscal Year 2019 and subsequent years</w:t>
            </w:r>
          </w:p>
        </w:tc>
      </w:tr>
    </w:tbl>
    <w:p w:rsidR="00970A3D" w:rsidRPr="001242D6" w:rsidRDefault="00970A3D" w:rsidP="00970A3D">
      <w:pPr>
        <w:pStyle w:val="BodyText2"/>
      </w:pPr>
    </w:p>
    <w:p w:rsidR="00DA351A" w:rsidRDefault="00DA351A">
      <w:bookmarkStart w:id="0" w:name="_GoBack"/>
      <w:bookmarkEnd w:id="0"/>
    </w:p>
    <w:sectPr w:rsidR="00DA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D"/>
    <w:rsid w:val="00970A3D"/>
    <w:rsid w:val="00DA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70F22-41CD-4424-9E1C-8095C91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A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70A3D"/>
    <w:rPr>
      <w:sz w:val="24"/>
    </w:rPr>
  </w:style>
  <w:style w:type="character" w:customStyle="1" w:styleId="BodyText2Char">
    <w:name w:val="Body Text 2 Char"/>
    <w:basedOn w:val="DefaultParagraphFont"/>
    <w:link w:val="BodyText2"/>
    <w:rsid w:val="00970A3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MNoe</dc:creator>
  <cp:keywords/>
  <dc:description/>
  <cp:lastModifiedBy>MNoe</cp:lastModifiedBy>
  <cp:revision>1</cp:revision>
  <dcterms:created xsi:type="dcterms:W3CDTF">2020-05-01T12:23:00Z</dcterms:created>
  <dcterms:modified xsi:type="dcterms:W3CDTF">2020-05-01T12:23:00Z</dcterms:modified>
</cp:coreProperties>
</file>